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86E2" w14:textId="77777777" w:rsidR="00011745" w:rsidRDefault="00252F58">
      <w:r>
        <w:rPr>
          <w:b/>
          <w:color w:val="0F1E3D"/>
          <w:sz w:val="44"/>
        </w:rPr>
        <w:t>Synvix Community · Acceptable Use Policy &amp; Code of Conduct</w:t>
      </w:r>
    </w:p>
    <w:p w14:paraId="5EF88ACE" w14:textId="77777777" w:rsidR="00011745" w:rsidRPr="00D86B79" w:rsidRDefault="00252F58">
      <w:pPr>
        <w:rPr>
          <w:lang w:val="de-DE"/>
        </w:rPr>
      </w:pPr>
      <w:r w:rsidRPr="00D86B79">
        <w:rPr>
          <w:i/>
          <w:color w:val="8A8F9A"/>
          <w:sz w:val="22"/>
          <w:lang w:val="de-DE"/>
        </w:rPr>
        <w:t>Anlage 1 zum Synvix Community Sponsoring-Vertrag · Version 1.0 · Stand 2026-04-28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7D42064D" w14:textId="77777777">
        <w:tc>
          <w:tcPr>
            <w:tcW w:w="9746" w:type="dxa"/>
            <w:tcBorders>
              <w:top w:val="single" w:sz="4" w:space="0" w:color="1E9FB8"/>
              <w:left w:val="single" w:sz="4" w:space="0" w:color="1E9FB8"/>
              <w:bottom w:val="single" w:sz="4" w:space="0" w:color="1E9FB8"/>
              <w:right w:val="single" w:sz="4" w:space="0" w:color="1E9FB8"/>
            </w:tcBorders>
            <w:shd w:val="clear" w:color="auto" w:fill="F3F5F9"/>
          </w:tcPr>
          <w:p w14:paraId="7FF1E097" w14:textId="673ADB2C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Veröffentlichung:  </w:t>
            </w:r>
            <w:r w:rsidRPr="00D86B79">
              <w:rPr>
                <w:lang w:val="de-DE"/>
              </w:rPr>
              <w:t xml:space="preserve">Auch publiziert unter </w:t>
            </w:r>
            <w:r w:rsidRPr="00D86B79">
              <w:rPr>
                <w:lang w:val="de-DE"/>
              </w:rPr>
              <w:t>synvix.de/</w:t>
            </w:r>
            <w:proofErr w:type="spellStart"/>
            <w:r w:rsidR="00D86B79">
              <w:rPr>
                <w:lang w:val="de-DE"/>
              </w:rPr>
              <w:t>community</w:t>
            </w:r>
            <w:proofErr w:type="spellEnd"/>
            <w:r w:rsidRPr="00D86B79">
              <w:rPr>
                <w:lang w:val="de-DE"/>
              </w:rPr>
              <w:t xml:space="preserve"> · für jede Person zugänglich</w:t>
            </w:r>
          </w:p>
        </w:tc>
      </w:tr>
    </w:tbl>
    <w:p w14:paraId="68F8A524" w14:textId="77777777" w:rsidR="00011745" w:rsidRPr="00D86B79" w:rsidRDefault="00011745">
      <w:pPr>
        <w:rPr>
          <w:lang w:val="de-DE"/>
        </w:rPr>
      </w:pPr>
    </w:p>
    <w:p w14:paraId="25E448F2" w14:textId="77777777" w:rsidR="00011745" w:rsidRPr="00D86B79" w:rsidRDefault="00252F58">
      <w:pPr>
        <w:spacing w:before="360" w:after="160"/>
        <w:rPr>
          <w:lang w:val="de-DE"/>
        </w:rPr>
      </w:pPr>
      <w:r w:rsidRPr="00D86B79">
        <w:rPr>
          <w:b/>
          <w:color w:val="0F1E3D"/>
          <w:sz w:val="30"/>
          <w:lang w:val="de-DE"/>
        </w:rPr>
        <w:t>0. Geltungsbereich &amp; Vorrang</w:t>
      </w:r>
    </w:p>
    <w:p w14:paraId="41CF30D9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Diese AUP gilt für alle Sponsoring-Empfänger des Synvix-Community-Programms und für alle Inhalte, Dienste und Aktivitäten, die auf der bereitgestellten Infrastruktur betrieben werden.</w:t>
      </w:r>
    </w:p>
    <w:p w14:paraId="4491D2DE" w14:textId="77777777" w:rsidR="00011745" w:rsidRPr="00D86B79" w:rsidRDefault="00252F58">
      <w:pPr>
        <w:rPr>
          <w:lang w:val="de-DE"/>
        </w:rPr>
      </w:pPr>
      <w:r w:rsidRPr="00D86B79">
        <w:rPr>
          <w:b/>
          <w:lang w:val="de-DE"/>
        </w:rPr>
        <w:t>Bei Verstoß ist Synvix berechtigt, den betroffenen Tenant sofort und ohne Vorankündigung zu suspendieren. Bei schweren Verstößen erfolgt zusätzlich Eintrag in die interne Negativ-Liste (Verhinderung künftiger Bewerbungen).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7F9FF7CB" w14:textId="77777777">
        <w:tc>
          <w:tcPr>
            <w:tcW w:w="974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F3F5F9"/>
          </w:tcPr>
          <w:p w14:paraId="295366EA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Grundsatz:  </w:t>
            </w:r>
            <w:r w:rsidRPr="00D86B79">
              <w:rPr>
                <w:lang w:val="de-DE"/>
              </w:rPr>
              <w:t>Diese AUP ist nicht verhandelbar. Wer sich nicht daran halten kann oder will, bewirbt sich besser nicht.</w:t>
            </w:r>
          </w:p>
        </w:tc>
      </w:tr>
    </w:tbl>
    <w:p w14:paraId="36F23051" w14:textId="77777777" w:rsidR="00011745" w:rsidRPr="00D86B79" w:rsidRDefault="00011745">
      <w:pPr>
        <w:rPr>
          <w:lang w:val="de-DE"/>
        </w:rPr>
      </w:pPr>
    </w:p>
    <w:p w14:paraId="043459CA" w14:textId="77777777" w:rsidR="00011745" w:rsidRPr="00D86B79" w:rsidRDefault="00252F58">
      <w:pPr>
        <w:spacing w:before="360" w:after="160"/>
        <w:rPr>
          <w:lang w:val="de-DE"/>
        </w:rPr>
      </w:pPr>
      <w:r w:rsidRPr="00D86B79">
        <w:rPr>
          <w:b/>
          <w:color w:val="0F1E3D"/>
          <w:sz w:val="30"/>
          <w:lang w:val="de-DE"/>
        </w:rPr>
        <w:t>1. Erlaubte Nutzung</w:t>
      </w:r>
    </w:p>
    <w:p w14:paraId="67653CFF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Die bereitgestellte Infrastruktur darf für folgende Zwecke verwendet werden:</w:t>
      </w:r>
    </w:p>
    <w:p w14:paraId="31E1FFB1" w14:textId="77777777" w:rsidR="00011745" w:rsidRDefault="00252F58">
      <w:pPr>
        <w:pStyle w:val="Aufzhlungszeichen"/>
      </w:pPr>
      <w:r>
        <w:t xml:space="preserve">Open-Source-Projekte (Code, </w:t>
      </w:r>
      <w:proofErr w:type="spellStart"/>
      <w:r>
        <w:t>Dokumentation</w:t>
      </w:r>
      <w:proofErr w:type="spellEnd"/>
      <w:r>
        <w:t>, CI/CD, Build-Server)</w:t>
      </w:r>
    </w:p>
    <w:p w14:paraId="461B0935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Bildungsprojekte (Lehrmaterial, Kurse, Tutorien, Wissensplattformen)</w:t>
      </w:r>
    </w:p>
    <w:p w14:paraId="163D2347" w14:textId="77777777" w:rsidR="00011745" w:rsidRDefault="00252F58">
      <w:pPr>
        <w:pStyle w:val="Aufzhlungszeichen"/>
      </w:pPr>
      <w:r>
        <w:t>Maker-/Hobby-</w:t>
      </w:r>
      <w:proofErr w:type="spellStart"/>
      <w:r>
        <w:t>Initiativen</w:t>
      </w:r>
      <w:proofErr w:type="spellEnd"/>
      <w:r>
        <w:t xml:space="preserve"> (3D-Druck-Communities, Elektronik-Foren, Hardware-Hacking)</w:t>
      </w:r>
    </w:p>
    <w:p w14:paraId="427F1949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Gemeinnützige Vereins-Webseiten (eingetragene Vereine mit nicht-kommerziellem Zweck)</w:t>
      </w:r>
    </w:p>
    <w:p w14:paraId="20F9CBBB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Persönliche Lern-Labs (private K8s-Cluster, eigene Tools, Portfolios)</w:t>
      </w:r>
    </w:p>
    <w:p w14:paraId="2A097FFB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Wissenschaftliche Projekte (Bachelor/Master-Arbeiten, Forschung ohne kommerzielle Verwertung)</w:t>
      </w:r>
    </w:p>
    <w:p w14:paraId="497F78C1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Kunst- und Kultur-Projekte (Indie-Spiele, Musik-Plattformen, Fotografie-Portfolios)</w:t>
      </w:r>
    </w:p>
    <w:p w14:paraId="3A486346" w14:textId="77777777" w:rsidR="00011745" w:rsidRDefault="00252F58">
      <w:pPr>
        <w:spacing w:before="360" w:after="160"/>
      </w:pPr>
      <w:r>
        <w:rPr>
          <w:b/>
          <w:color w:val="0F1E3D"/>
          <w:sz w:val="30"/>
        </w:rPr>
        <w:t>2. HARD-NO-Liste · sofortiger Suspend (keine Toleranz)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7896D3B0" w14:textId="77777777">
        <w:tc>
          <w:tcPr>
            <w:tcW w:w="974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F3F5F9"/>
          </w:tcPr>
          <w:p w14:paraId="06154222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ZERO-TOLERANCE:  </w:t>
            </w:r>
            <w:r w:rsidRPr="00D86B79">
              <w:rPr>
                <w:lang w:val="de-DE"/>
              </w:rPr>
              <w:t>Die folgenden Inhalte und Aktivitäten sind strikt verboten und führen zur sofortigen Suspendierung ohne Vorwarnung.</w:t>
            </w:r>
          </w:p>
        </w:tc>
      </w:tr>
    </w:tbl>
    <w:p w14:paraId="4D43EFC3" w14:textId="77777777" w:rsidR="00011745" w:rsidRPr="00D86B79" w:rsidRDefault="00011745">
      <w:pPr>
        <w:rPr>
          <w:lang w:val="de-DE"/>
        </w:rPr>
      </w:pPr>
    </w:p>
    <w:p w14:paraId="4251EA2D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 xml:space="preserve">2.1 </w:t>
      </w:r>
      <w:proofErr w:type="spellStart"/>
      <w:r>
        <w:rPr>
          <w:b/>
          <w:color w:val="1E9FB8"/>
          <w:sz w:val="24"/>
        </w:rPr>
        <w:t>Strafrechtliche</w:t>
      </w:r>
      <w:proofErr w:type="spellEnd"/>
      <w:r>
        <w:rPr>
          <w:b/>
          <w:color w:val="1E9FB8"/>
          <w:sz w:val="24"/>
        </w:rPr>
        <w:t xml:space="preserve"> </w:t>
      </w:r>
      <w:proofErr w:type="spellStart"/>
      <w:r>
        <w:rPr>
          <w:b/>
          <w:color w:val="1E9FB8"/>
          <w:sz w:val="24"/>
        </w:rPr>
        <w:t>Inhalte</w:t>
      </w:r>
      <w:proofErr w:type="spellEnd"/>
    </w:p>
    <w:p w14:paraId="5B918E1F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Kinder- / Jugend-pornografische Inhalte (§ 184b/c StGB)</w:t>
      </w:r>
    </w:p>
    <w:p w14:paraId="7A0629ED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Volksverhetzung / NSDAP-Symbolik / Holocaust-Leugnung (§ 130, § 86a StGB)</w:t>
      </w:r>
    </w:p>
    <w:p w14:paraId="5983742A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Anleitungen zu Straftaten (Sprengstoff, Waffen, Drogen, Hacking)</w:t>
      </w:r>
    </w:p>
    <w:p w14:paraId="230C4DE5" w14:textId="77777777" w:rsidR="00011745" w:rsidRDefault="00252F58">
      <w:pPr>
        <w:pStyle w:val="Aufzhlungszeichen"/>
      </w:pPr>
      <w:proofErr w:type="spellStart"/>
      <w:r>
        <w:t>Terrorismus</w:t>
      </w:r>
      <w:proofErr w:type="spellEnd"/>
      <w:r>
        <w:t>-Propaganda / -</w:t>
      </w:r>
      <w:proofErr w:type="spellStart"/>
      <w:r>
        <w:t>Finanzierung</w:t>
      </w:r>
      <w:proofErr w:type="spellEnd"/>
    </w:p>
    <w:p w14:paraId="2A150D7B" w14:textId="77777777" w:rsidR="00011745" w:rsidRDefault="00252F58">
      <w:pPr>
        <w:pStyle w:val="Aufzhlungszeichen"/>
      </w:pPr>
      <w:r>
        <w:t>Phishing / Scam / Betrugs-Plattformen</w:t>
      </w:r>
    </w:p>
    <w:p w14:paraId="04B2DF82" w14:textId="77777777" w:rsidR="00011745" w:rsidRDefault="00252F58">
      <w:pPr>
        <w:pStyle w:val="Aufzhlungszeichen"/>
      </w:pPr>
      <w:r>
        <w:lastRenderedPageBreak/>
        <w:t>Identitätsdiebstahl / Doxing-Plattformen</w:t>
      </w:r>
    </w:p>
    <w:p w14:paraId="5D353E10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Inhalte, die andere Personen ohne Einwilligung diffamieren</w:t>
      </w:r>
    </w:p>
    <w:p w14:paraId="5E9AE2B9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 xml:space="preserve">2.2 </w:t>
      </w:r>
      <w:proofErr w:type="spellStart"/>
      <w:r>
        <w:rPr>
          <w:b/>
          <w:color w:val="1E9FB8"/>
          <w:sz w:val="24"/>
        </w:rPr>
        <w:t>Urheber</w:t>
      </w:r>
      <w:proofErr w:type="spellEnd"/>
      <w:r>
        <w:rPr>
          <w:b/>
          <w:color w:val="1E9FB8"/>
          <w:sz w:val="24"/>
        </w:rPr>
        <w:t xml:space="preserve">- / </w:t>
      </w:r>
      <w:proofErr w:type="spellStart"/>
      <w:r>
        <w:rPr>
          <w:b/>
          <w:color w:val="1E9FB8"/>
          <w:sz w:val="24"/>
        </w:rPr>
        <w:t>Markenrechtsverletzungen</w:t>
      </w:r>
      <w:proofErr w:type="spellEnd"/>
    </w:p>
    <w:p w14:paraId="76F8B729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Hosting urheberrechtlich geschützter Werke ohne Lizenz (Filme, Software, Musik, Bücher)</w:t>
      </w:r>
    </w:p>
    <w:p w14:paraId="3E978593" w14:textId="77777777" w:rsidR="00011745" w:rsidRDefault="00252F58">
      <w:pPr>
        <w:pStyle w:val="Aufzhlungszeichen"/>
      </w:pPr>
      <w:r>
        <w:t xml:space="preserve">Fake-Shops / </w:t>
      </w:r>
      <w:proofErr w:type="spellStart"/>
      <w:r>
        <w:t>Markenpiraterie</w:t>
      </w:r>
      <w:proofErr w:type="spellEnd"/>
    </w:p>
    <w:p w14:paraId="55EC1E9C" w14:textId="77777777" w:rsidR="00011745" w:rsidRDefault="00252F58">
      <w:pPr>
        <w:pStyle w:val="Aufzhlungszeichen"/>
      </w:pPr>
      <w:r>
        <w:t>Fälschungen / illegale Mods kommerzieller Spiele</w:t>
      </w:r>
    </w:p>
    <w:p w14:paraId="5E5F2814" w14:textId="77777777" w:rsidR="00011745" w:rsidRDefault="00252F58">
      <w:pPr>
        <w:pStyle w:val="Aufzhlungszeichen"/>
      </w:pPr>
      <w:r>
        <w:t>Cracks / Keygens / Lizenz-Bypass-Tools</w:t>
      </w:r>
    </w:p>
    <w:p w14:paraId="03916634" w14:textId="77777777" w:rsidR="00011745" w:rsidRDefault="00252F58">
      <w:pPr>
        <w:pStyle w:val="Aufzhlungszeichen"/>
      </w:pPr>
      <w:r>
        <w:t>Game-Cheats / Hack-Tools / Aimbots / DDoS-as-a-Service</w:t>
      </w:r>
    </w:p>
    <w:p w14:paraId="7C0A91AF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>2.3 Missbrauch der Infrastruktur</w:t>
      </w:r>
    </w:p>
    <w:p w14:paraId="3C83DAA4" w14:textId="77777777" w:rsidR="00011745" w:rsidRDefault="00252F58">
      <w:pPr>
        <w:pStyle w:val="Aufzhlungszeichen"/>
      </w:pPr>
      <w:r>
        <w:t>Crypto-Mining (CPU/GPU)</w:t>
      </w:r>
    </w:p>
    <w:p w14:paraId="296786FE" w14:textId="77777777" w:rsidR="00011745" w:rsidRDefault="00252F58">
      <w:pPr>
        <w:pStyle w:val="Aufzhlungszeichen"/>
      </w:pPr>
      <w:r>
        <w:t>Tor-Exit-Nodes</w:t>
      </w:r>
    </w:p>
    <w:p w14:paraId="03B287B5" w14:textId="77777777" w:rsidR="00011745" w:rsidRDefault="00252F58">
      <w:pPr>
        <w:pStyle w:val="Aufzhlungszeichen"/>
      </w:pPr>
      <w:r>
        <w:t>Botnet-Command-and-Control-Server</w:t>
      </w:r>
    </w:p>
    <w:p w14:paraId="730CDE87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Spam-Versand (E-Mail / SMS / Form-Spam)</w:t>
      </w:r>
    </w:p>
    <w:p w14:paraId="4FC1CE96" w14:textId="77777777" w:rsidR="00011745" w:rsidRDefault="00252F58">
      <w:pPr>
        <w:pStyle w:val="Aufzhlungszeichen"/>
      </w:pPr>
      <w:r>
        <w:t>DDoS-</w:t>
      </w:r>
      <w:proofErr w:type="spellStart"/>
      <w:r>
        <w:t>Attacken</w:t>
      </w:r>
      <w:proofErr w:type="spellEnd"/>
      <w:r>
        <w:t xml:space="preserve"> (</w:t>
      </w:r>
      <w:proofErr w:type="spellStart"/>
      <w:r>
        <w:t>ausgehend</w:t>
      </w:r>
      <w:proofErr w:type="spellEnd"/>
      <w:r>
        <w:t>)</w:t>
      </w:r>
    </w:p>
    <w:p w14:paraId="591F3FE9" w14:textId="77777777" w:rsidR="00011745" w:rsidRDefault="00252F58">
      <w:pPr>
        <w:pStyle w:val="Aufzhlungszeichen"/>
      </w:pPr>
      <w:r>
        <w:t>Port-Scanning / Vulnerability-Scanning Dritter ohne Auftrag</w:t>
      </w:r>
    </w:p>
    <w:p w14:paraId="1EE3AB4F" w14:textId="77777777" w:rsidR="00011745" w:rsidRDefault="00252F58">
      <w:pPr>
        <w:pStyle w:val="Aufzhlungszeichen"/>
      </w:pPr>
      <w:r>
        <w:t>Brute-Force-Tools gegen Drittsysteme</w:t>
      </w:r>
    </w:p>
    <w:p w14:paraId="1F2FAB20" w14:textId="77777777" w:rsidR="00011745" w:rsidRPr="00D86B79" w:rsidRDefault="00252F58">
      <w:pPr>
        <w:pStyle w:val="Aufzhlungszeichen"/>
        <w:rPr>
          <w:lang w:val="de-DE"/>
        </w:rPr>
      </w:pPr>
      <w:proofErr w:type="spellStart"/>
      <w:r w:rsidRPr="00D86B79">
        <w:rPr>
          <w:lang w:val="de-DE"/>
        </w:rPr>
        <w:t>Proxies</w:t>
      </w:r>
      <w:proofErr w:type="spellEnd"/>
      <w:r w:rsidRPr="00D86B79">
        <w:rPr>
          <w:lang w:val="de-DE"/>
        </w:rPr>
        <w:t xml:space="preserve"> / VPN-Exit-Nodes für Anonymisierung Dritter</w:t>
      </w:r>
    </w:p>
    <w:p w14:paraId="02C4B1A9" w14:textId="77777777" w:rsidR="00011745" w:rsidRDefault="00252F58">
      <w:pPr>
        <w:pStyle w:val="Aufzhlungszeichen"/>
      </w:pPr>
      <w:r>
        <w:t xml:space="preserve">Crypto-Wallets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produktivem</w:t>
      </w:r>
      <w:proofErr w:type="spellEnd"/>
      <w:r>
        <w:t xml:space="preserve"> Volumen</w:t>
      </w:r>
    </w:p>
    <w:p w14:paraId="4EE05B5D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>2.4 Glücksspiel &amp; Erwachseneninhalte</w:t>
      </w:r>
    </w:p>
    <w:p w14:paraId="101DD6C2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Glücksspiel (auch '</w:t>
      </w:r>
      <w:proofErr w:type="spellStart"/>
      <w:r w:rsidRPr="00D86B79">
        <w:rPr>
          <w:lang w:val="de-DE"/>
        </w:rPr>
        <w:t>Skill</w:t>
      </w:r>
      <w:proofErr w:type="spellEnd"/>
      <w:r w:rsidRPr="00D86B79">
        <w:rPr>
          <w:lang w:val="de-DE"/>
        </w:rPr>
        <w:t>-Games' mit Echtgeld)</w:t>
      </w:r>
    </w:p>
    <w:p w14:paraId="63C47E08" w14:textId="77777777" w:rsidR="00011745" w:rsidRDefault="00252F58">
      <w:pPr>
        <w:pStyle w:val="Aufzhlungszeichen"/>
      </w:pPr>
      <w:proofErr w:type="spellStart"/>
      <w:r>
        <w:t>Pornografische</w:t>
      </w:r>
      <w:proofErr w:type="spellEnd"/>
      <w:r>
        <w:t xml:space="preserve"> </w:t>
      </w:r>
      <w:proofErr w:type="spellStart"/>
      <w:r>
        <w:t>Inhalte</w:t>
      </w:r>
      <w:proofErr w:type="spellEnd"/>
      <w:r>
        <w:t xml:space="preserve"> (</w:t>
      </w:r>
      <w:proofErr w:type="spellStart"/>
      <w:r>
        <w:t>auch</w:t>
      </w:r>
      <w:proofErr w:type="spellEnd"/>
      <w:r>
        <w:t xml:space="preserve"> '</w:t>
      </w:r>
      <w:proofErr w:type="spellStart"/>
      <w:r>
        <w:t>legaler</w:t>
      </w:r>
      <w:proofErr w:type="spellEnd"/>
      <w:r>
        <w:t>' 18+)</w:t>
      </w:r>
    </w:p>
    <w:p w14:paraId="0423E388" w14:textId="77777777" w:rsidR="00011745" w:rsidRDefault="00252F58">
      <w:pPr>
        <w:pStyle w:val="Aufzhlungszeichen"/>
      </w:pPr>
      <w:r>
        <w:t>Erotik-Plattformen / Cam-Plattformen</w:t>
      </w:r>
    </w:p>
    <w:p w14:paraId="6FDC9E16" w14:textId="77777777" w:rsidR="00011745" w:rsidRDefault="00252F58">
      <w:pPr>
        <w:pStyle w:val="Aufzhlungszeichen"/>
      </w:pPr>
      <w:r>
        <w:t>Wett-Plattformen</w:t>
      </w:r>
    </w:p>
    <w:p w14:paraId="7DA9AF58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>2.5 Politische Extreme &amp; Hate Speech</w:t>
      </w:r>
    </w:p>
    <w:p w14:paraId="71B8BED3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Plattformen für extremistische Gruppierungen (links- oder rechtsextrem)</w:t>
      </w:r>
    </w:p>
    <w:p w14:paraId="577D883B" w14:textId="77777777" w:rsidR="00011745" w:rsidRDefault="00252F58">
      <w:pPr>
        <w:pStyle w:val="Aufzhlungszeichen"/>
      </w:pPr>
      <w:r>
        <w:t>Hate-Speech-Foren</w:t>
      </w:r>
    </w:p>
    <w:p w14:paraId="05E028B6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Aufrufe zu Gewalt gegen Personen / Gruppen</w:t>
      </w:r>
    </w:p>
    <w:p w14:paraId="03868977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Verschwörungs-Plattformen mit gesundheitsgefährdender Reichweite (z. B. Anti-Impf-Desinformation)</w:t>
      </w:r>
    </w:p>
    <w:p w14:paraId="5B54484F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 xml:space="preserve">2.6 </w:t>
      </w:r>
      <w:proofErr w:type="spellStart"/>
      <w:r>
        <w:rPr>
          <w:b/>
          <w:color w:val="1E9FB8"/>
          <w:sz w:val="24"/>
        </w:rPr>
        <w:t>Datenschutz-Verstöße</w:t>
      </w:r>
      <w:proofErr w:type="spellEnd"/>
    </w:p>
    <w:p w14:paraId="4B66F3BD" w14:textId="77777777" w:rsidR="00011745" w:rsidRDefault="00252F58">
      <w:pPr>
        <w:pStyle w:val="Aufzhlungszeichen"/>
      </w:pPr>
      <w:r>
        <w:t>Personenbezogene Daten Dritter ohne Rechtsgrundlage</w:t>
      </w:r>
    </w:p>
    <w:p w14:paraId="47A168DC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Tracking-Tools ohne Einwilligung der Endnutzer</w:t>
      </w:r>
    </w:p>
    <w:p w14:paraId="1640998A" w14:textId="77777777" w:rsidR="00011745" w:rsidRDefault="00252F58">
      <w:pPr>
        <w:pStyle w:val="Aufzhlungszeichen"/>
      </w:pPr>
      <w:r>
        <w:t>Cookie-Stuffing / Affiliate-Hijacking</w:t>
      </w:r>
    </w:p>
    <w:p w14:paraId="474EFFE6" w14:textId="77777777" w:rsidR="00011745" w:rsidRDefault="00252F58">
      <w:pPr>
        <w:pStyle w:val="Aufzhlungszeichen"/>
      </w:pPr>
      <w:r>
        <w:t>Stalkerware / Spyware</w:t>
      </w:r>
    </w:p>
    <w:p w14:paraId="1DD4E16C" w14:textId="77777777" w:rsidR="00FC61C0" w:rsidRDefault="00FC61C0">
      <w:pPr>
        <w:spacing w:before="360" w:after="160"/>
        <w:rPr>
          <w:b/>
          <w:color w:val="0F1E3D"/>
          <w:sz w:val="30"/>
        </w:rPr>
      </w:pPr>
    </w:p>
    <w:p w14:paraId="33BBB78F" w14:textId="77777777" w:rsidR="00FC61C0" w:rsidRDefault="00FC61C0">
      <w:pPr>
        <w:spacing w:before="360" w:after="160"/>
        <w:rPr>
          <w:b/>
          <w:color w:val="0F1E3D"/>
          <w:sz w:val="30"/>
        </w:rPr>
      </w:pPr>
    </w:p>
    <w:p w14:paraId="46A45F39" w14:textId="77777777" w:rsidR="00FC61C0" w:rsidRDefault="00FC61C0">
      <w:pPr>
        <w:spacing w:before="360" w:after="160"/>
        <w:rPr>
          <w:b/>
          <w:color w:val="0F1E3D"/>
          <w:sz w:val="30"/>
        </w:rPr>
      </w:pPr>
    </w:p>
    <w:p w14:paraId="3CBC004F" w14:textId="437DA80A" w:rsidR="00011745" w:rsidRDefault="00252F58">
      <w:pPr>
        <w:spacing w:before="360" w:after="160"/>
      </w:pPr>
      <w:r>
        <w:rPr>
          <w:b/>
          <w:color w:val="0F1E3D"/>
          <w:sz w:val="30"/>
        </w:rPr>
        <w:lastRenderedPageBreak/>
        <w:t>3. Kommerzielle Aktivität (Grenzen)</w:t>
      </w:r>
    </w:p>
    <w:p w14:paraId="1364A3CE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Das Programm ist nicht-kommerziell ausgelegt. Folgende Aktivitäten sind erlaubt / nicht erlaubt: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118"/>
        <w:gridCol w:w="2835"/>
      </w:tblGrid>
      <w:tr w:rsidR="00011745" w14:paraId="5800F0A2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16ECC5CB" w14:textId="77777777" w:rsidR="00011745" w:rsidRDefault="00252F58">
            <w:proofErr w:type="spellStart"/>
            <w:r>
              <w:rPr>
                <w:b/>
                <w:color w:val="FFFFFF"/>
              </w:rPr>
              <w:t>Aktivität</w:t>
            </w:r>
            <w:proofErr w:type="spellEnd"/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146CB9D1" w14:textId="77777777" w:rsidR="00011745" w:rsidRDefault="00252F58">
            <w:r>
              <w:rPr>
                <w:b/>
                <w:color w:val="FFFFFF"/>
              </w:rPr>
              <w:t>Erlaubt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2A213BD4" w14:textId="77777777" w:rsidR="00011745" w:rsidRDefault="00252F58">
            <w:r>
              <w:rPr>
                <w:b/>
                <w:color w:val="FFFFFF"/>
              </w:rPr>
              <w:t>Nicht erlaubt</w:t>
            </w:r>
          </w:p>
        </w:tc>
      </w:tr>
      <w:tr w:rsidR="00011745" w14:paraId="7D9BA194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71C4EAB" w14:textId="77777777" w:rsidR="00011745" w:rsidRDefault="00252F58">
            <w:r>
              <w:rPr>
                <w:sz w:val="18"/>
              </w:rPr>
              <w:t>Donations (Patreon, Ko-Fi, etc.)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402CB77" w14:textId="77777777" w:rsidR="00011745" w:rsidRDefault="00252F58">
            <w:r>
              <w:rPr>
                <w:sz w:val="18"/>
              </w:rPr>
              <w:t>bis 1.000 €/J · Empfänger Privatperson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A4469CD" w14:textId="77777777" w:rsidR="00011745" w:rsidRDefault="00252F58">
            <w:r>
              <w:rPr>
                <w:sz w:val="18"/>
              </w:rPr>
              <w:t>&gt; 1.000 €/J oder kommerzielle Strukturen</w:t>
            </w:r>
          </w:p>
        </w:tc>
      </w:tr>
      <w:tr w:rsidR="00011745" w14:paraId="63022E00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692AF3D" w14:textId="77777777" w:rsidR="00011745" w:rsidRDefault="00252F58">
            <w:r>
              <w:rPr>
                <w:sz w:val="18"/>
              </w:rPr>
              <w:t>Werbe-Banner (Google AdSense etc.)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4599665" w14:textId="77777777" w:rsidR="00011745" w:rsidRDefault="00252F58">
            <w:r>
              <w:rPr>
                <w:sz w:val="18"/>
              </w:rPr>
              <w:t>—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BEB755D" w14:textId="77777777" w:rsidR="00011745" w:rsidRDefault="00252F58">
            <w:r>
              <w:rPr>
                <w:sz w:val="18"/>
              </w:rPr>
              <w:t>strikt verboten</w:t>
            </w:r>
          </w:p>
        </w:tc>
      </w:tr>
      <w:tr w:rsidR="00011745" w:rsidRPr="00D86B79" w14:paraId="21383C5E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5AB9F33" w14:textId="77777777" w:rsidR="00011745" w:rsidRDefault="00252F58">
            <w:r>
              <w:rPr>
                <w:sz w:val="18"/>
              </w:rPr>
              <w:t>Verkauf von Waren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4074245" w14:textId="77777777" w:rsidR="00011745" w:rsidRDefault="00252F58">
            <w:r>
              <w:rPr>
                <w:sz w:val="18"/>
              </w:rPr>
              <w:t>—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5860345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strikt verboten (auch T-Shirts mit Projekt-Logo)</w:t>
            </w:r>
          </w:p>
        </w:tc>
      </w:tr>
      <w:tr w:rsidR="00011745" w14:paraId="1873CC48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570B4E0" w14:textId="77777777" w:rsidR="00011745" w:rsidRDefault="00252F58">
            <w:proofErr w:type="spellStart"/>
            <w:r>
              <w:rPr>
                <w:sz w:val="18"/>
              </w:rPr>
              <w:t>Bezahlte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Kurse</w:t>
            </w:r>
            <w:proofErr w:type="spellEnd"/>
            <w:r>
              <w:rPr>
                <w:sz w:val="18"/>
              </w:rPr>
              <w:t xml:space="preserve"> / Premium-</w:t>
            </w:r>
            <w:proofErr w:type="spellStart"/>
            <w:r>
              <w:rPr>
                <w:sz w:val="18"/>
              </w:rPr>
              <w:t>Inhalte</w:t>
            </w:r>
            <w:proofErr w:type="spellEnd"/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FD796DE" w14:textId="77777777" w:rsidR="00011745" w:rsidRDefault="00252F58">
            <w:r>
              <w:rPr>
                <w:sz w:val="18"/>
              </w:rPr>
              <w:t>—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CC3A3E8" w14:textId="77777777" w:rsidR="00011745" w:rsidRDefault="00252F58">
            <w:r>
              <w:rPr>
                <w:sz w:val="18"/>
              </w:rPr>
              <w:t>strikt verboten</w:t>
            </w:r>
          </w:p>
        </w:tc>
      </w:tr>
      <w:tr w:rsidR="00011745" w14:paraId="3EE18077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D70A732" w14:textId="77777777" w:rsidR="00011745" w:rsidRDefault="00252F58">
            <w:r>
              <w:rPr>
                <w:sz w:val="18"/>
              </w:rPr>
              <w:t>Stellen-Anzeigen Dritter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5CAF61D" w14:textId="77777777" w:rsidR="00011745" w:rsidRDefault="00252F58">
            <w:r>
              <w:rPr>
                <w:sz w:val="18"/>
              </w:rPr>
              <w:t>—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650A547" w14:textId="77777777" w:rsidR="00011745" w:rsidRDefault="00252F58">
            <w:r>
              <w:rPr>
                <w:sz w:val="18"/>
              </w:rPr>
              <w:t>strikt verboten</w:t>
            </w:r>
          </w:p>
        </w:tc>
      </w:tr>
      <w:tr w:rsidR="00011745" w14:paraId="28ADE8A6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C0A2FBE" w14:textId="77777777" w:rsidR="00011745" w:rsidRDefault="00252F58">
            <w:r>
              <w:rPr>
                <w:sz w:val="18"/>
              </w:rPr>
              <w:t>Eigene Bewerbung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DD6760C" w14:textId="77777777" w:rsidR="00011745" w:rsidRDefault="00252F58">
            <w:r>
              <w:rPr>
                <w:sz w:val="18"/>
              </w:rPr>
              <w:t>erlaubt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77B851A" w14:textId="77777777" w:rsidR="00011745" w:rsidRDefault="00252F58">
            <w:r>
              <w:rPr>
                <w:sz w:val="18"/>
              </w:rPr>
              <w:t>—</w:t>
            </w:r>
          </w:p>
        </w:tc>
      </w:tr>
      <w:tr w:rsidR="00011745" w14:paraId="323FEF2C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2C2F69B" w14:textId="77777777" w:rsidR="00011745" w:rsidRDefault="00252F58">
            <w:r>
              <w:rPr>
                <w:sz w:val="18"/>
              </w:rPr>
              <w:t>OSS-Sponsoring (GitHub Sponsors)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C7B6B07" w14:textId="77777777" w:rsidR="00011745" w:rsidRDefault="00252F58">
            <w:r>
              <w:rPr>
                <w:sz w:val="18"/>
              </w:rPr>
              <w:t>erlaubt bis 1.000 €/J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5C5D9C4" w14:textId="77777777" w:rsidR="00011745" w:rsidRDefault="00252F58">
            <w:r>
              <w:rPr>
                <w:sz w:val="18"/>
              </w:rPr>
              <w:t>&gt; 1.000 €/J</w:t>
            </w:r>
          </w:p>
        </w:tc>
      </w:tr>
      <w:tr w:rsidR="00011745" w14:paraId="104B96A8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9C742F3" w14:textId="77777777" w:rsidR="00011745" w:rsidRDefault="00252F58">
            <w:r>
              <w:rPr>
                <w:sz w:val="18"/>
              </w:rPr>
              <w:t>White-Label / Reselling</w:t>
            </w:r>
          </w:p>
        </w:tc>
        <w:tc>
          <w:tcPr>
            <w:tcW w:w="3118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C60478F" w14:textId="77777777" w:rsidR="00011745" w:rsidRDefault="00252F58">
            <w:r>
              <w:rPr>
                <w:sz w:val="18"/>
              </w:rPr>
              <w:t>—</w:t>
            </w:r>
          </w:p>
        </w:tc>
        <w:tc>
          <w:tcPr>
            <w:tcW w:w="2835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4A60647" w14:textId="77777777" w:rsidR="00011745" w:rsidRDefault="00252F58">
            <w:r>
              <w:rPr>
                <w:sz w:val="18"/>
              </w:rPr>
              <w:t>strikt verboten</w:t>
            </w:r>
          </w:p>
        </w:tc>
      </w:tr>
    </w:tbl>
    <w:p w14:paraId="3EDF5BBC" w14:textId="77777777" w:rsidR="00011745" w:rsidRDefault="00011745"/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14:paraId="38CC6CFE" w14:textId="77777777">
        <w:tc>
          <w:tcPr>
            <w:tcW w:w="9746" w:type="dxa"/>
            <w:tcBorders>
              <w:top w:val="single" w:sz="4" w:space="0" w:color="1E9FB8"/>
              <w:left w:val="single" w:sz="4" w:space="0" w:color="1E9FB8"/>
              <w:bottom w:val="single" w:sz="4" w:space="0" w:color="1E9FB8"/>
              <w:right w:val="single" w:sz="4" w:space="0" w:color="1E9FB8"/>
            </w:tcBorders>
            <w:shd w:val="clear" w:color="auto" w:fill="F3F5F9"/>
          </w:tcPr>
          <w:p w14:paraId="19CF17B0" w14:textId="77777777" w:rsidR="00011745" w:rsidRDefault="00252F58">
            <w:r w:rsidRPr="00D86B79">
              <w:rPr>
                <w:b/>
                <w:color w:val="0F1E3D"/>
                <w:lang w:val="de-DE"/>
              </w:rPr>
              <w:t xml:space="preserve">Bei Erreichen der Grenze:  </w:t>
            </w:r>
            <w:r w:rsidRPr="00D86B79">
              <w:rPr>
                <w:lang w:val="de-DE"/>
              </w:rPr>
              <w:t xml:space="preserve">Migration in BRONZE-Hosting (149 €/Mo) wird angeboten. </w:t>
            </w:r>
            <w:proofErr w:type="spellStart"/>
            <w:r>
              <w:t>Verlängerung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Sponsoring-</w:t>
            </w:r>
            <w:proofErr w:type="spellStart"/>
            <w:r>
              <w:t>Programm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dann nicht mehr möglich.</w:t>
            </w:r>
          </w:p>
        </w:tc>
      </w:tr>
    </w:tbl>
    <w:p w14:paraId="157E0CA4" w14:textId="77777777" w:rsidR="00011745" w:rsidRDefault="00011745"/>
    <w:p w14:paraId="1FB7A42E" w14:textId="77777777" w:rsidR="00011745" w:rsidRDefault="00252F58">
      <w:pPr>
        <w:spacing w:before="360" w:after="160"/>
      </w:pPr>
      <w:r>
        <w:rPr>
          <w:b/>
          <w:color w:val="0F1E3D"/>
          <w:sz w:val="30"/>
        </w:rPr>
        <w:t>4. Ressourcen-Nutzung</w:t>
      </w:r>
    </w:p>
    <w:p w14:paraId="63223FD1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Die Sponsoring-Ressourcen sind ein gemeinsames Gut und müssen verantwortungsvoll genutzt werden.</w:t>
      </w:r>
    </w:p>
    <w:p w14:paraId="33F71D3A" w14:textId="77777777" w:rsidR="00011745" w:rsidRDefault="00252F58">
      <w:proofErr w:type="spellStart"/>
      <w:r>
        <w:rPr>
          <w:b/>
        </w:rPr>
        <w:t>Erlaubt</w:t>
      </w:r>
      <w:proofErr w:type="spellEnd"/>
      <w:r>
        <w:rPr>
          <w:b/>
        </w:rPr>
        <w:t>:</w:t>
      </w:r>
    </w:p>
    <w:p w14:paraId="2A290DEB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Normale Web-/App-Last im Tier-Rahmen</w:t>
      </w:r>
    </w:p>
    <w:p w14:paraId="0407ADAB" w14:textId="77777777" w:rsidR="00011745" w:rsidRDefault="00252F58">
      <w:pPr>
        <w:pStyle w:val="Aufzhlungszeichen"/>
      </w:pPr>
      <w:r>
        <w:t>Daily Backups (Synvix-</w:t>
      </w:r>
      <w:proofErr w:type="spellStart"/>
      <w:r>
        <w:t>bereitgestellt</w:t>
      </w:r>
      <w:proofErr w:type="spellEnd"/>
      <w:r>
        <w:t>)</w:t>
      </w:r>
    </w:p>
    <w:p w14:paraId="359E1C90" w14:textId="77777777" w:rsidR="00011745" w:rsidRDefault="00252F58">
      <w:pPr>
        <w:pStyle w:val="Aufzhlungszeichen"/>
      </w:pPr>
      <w:r>
        <w:t>CI/CD-Pipelines (im OSS-CONTRIB-Tier)</w:t>
      </w:r>
    </w:p>
    <w:p w14:paraId="0DBA96EF" w14:textId="77777777" w:rsidR="00011745" w:rsidRDefault="00252F58">
      <w:r>
        <w:rPr>
          <w:b/>
        </w:rPr>
        <w:t>Nicht erlaubt:</w:t>
      </w:r>
    </w:p>
    <w:p w14:paraId="4A3D0167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Künstliche Last-Generierung (Stresstests gegen sich selbst &gt; 4 h/Mo)</w:t>
      </w:r>
    </w:p>
    <w:p w14:paraId="216B9733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 xml:space="preserve">Crawler / Scraper (auch eigener Inhalte) &gt; 100 </w:t>
      </w:r>
      <w:proofErr w:type="spellStart"/>
      <w:r w:rsidRPr="00D86B79">
        <w:rPr>
          <w:lang w:val="de-DE"/>
        </w:rPr>
        <w:t>req</w:t>
      </w:r>
      <w:proofErr w:type="spellEnd"/>
      <w:r w:rsidRPr="00D86B79">
        <w:rPr>
          <w:lang w:val="de-DE"/>
        </w:rPr>
        <w:t>/min</w:t>
      </w:r>
    </w:p>
    <w:p w14:paraId="37943DA5" w14:textId="77777777" w:rsidR="00011745" w:rsidRDefault="00252F58">
      <w:pPr>
        <w:pStyle w:val="Aufzhlungszeichen"/>
      </w:pPr>
      <w:proofErr w:type="spellStart"/>
      <w:r>
        <w:t>Anhaltende</w:t>
      </w:r>
      <w:proofErr w:type="spellEnd"/>
      <w:r>
        <w:t xml:space="preserve"> CPU-</w:t>
      </w:r>
      <w:proofErr w:type="spellStart"/>
      <w:r>
        <w:t>Volllast</w:t>
      </w:r>
      <w:proofErr w:type="spellEnd"/>
      <w:r>
        <w:t xml:space="preserve"> &gt; 80 % über &gt; 6 h</w:t>
      </w:r>
    </w:p>
    <w:p w14:paraId="4D0DACAC" w14:textId="77777777" w:rsidR="00011745" w:rsidRDefault="00252F58">
      <w:pPr>
        <w:pStyle w:val="Aufzhlungszeichen"/>
      </w:pPr>
      <w:r>
        <w:t>Storage-Belegung &gt; Tier-Limit</w:t>
      </w:r>
    </w:p>
    <w:p w14:paraId="20A61223" w14:textId="77777777" w:rsidR="00011745" w:rsidRDefault="00252F58">
      <w:pPr>
        <w:pStyle w:val="Aufzhlungszeichen"/>
      </w:pPr>
      <w:r>
        <w:t>Bandwidth &gt; 500 GB/Monat outbound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46AECFE9" w14:textId="77777777">
        <w:tc>
          <w:tcPr>
            <w:tcW w:w="9746" w:type="dxa"/>
            <w:tcBorders>
              <w:top w:val="single" w:sz="4" w:space="0" w:color="F5B800"/>
              <w:left w:val="single" w:sz="4" w:space="0" w:color="F5B800"/>
              <w:bottom w:val="single" w:sz="4" w:space="0" w:color="F5B800"/>
              <w:right w:val="single" w:sz="4" w:space="0" w:color="F5B800"/>
            </w:tcBorders>
            <w:shd w:val="clear" w:color="auto" w:fill="F3F5F9"/>
          </w:tcPr>
          <w:p w14:paraId="1E127F6A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Bei Überschreitung:  </w:t>
            </w:r>
            <w:r w:rsidRPr="00D86B79">
              <w:rPr>
                <w:lang w:val="de-DE"/>
              </w:rPr>
              <w:t xml:space="preserve">Automatische </w:t>
            </w:r>
            <w:proofErr w:type="spellStart"/>
            <w:r w:rsidRPr="00D86B79">
              <w:rPr>
                <w:lang w:val="de-DE"/>
              </w:rPr>
              <w:t>Throttle</w:t>
            </w:r>
            <w:proofErr w:type="spellEnd"/>
            <w:r w:rsidRPr="00D86B79">
              <w:rPr>
                <w:lang w:val="de-DE"/>
              </w:rPr>
              <w:t>-Maßnahme (</w:t>
            </w:r>
            <w:proofErr w:type="spellStart"/>
            <w:r w:rsidRPr="00D86B79">
              <w:rPr>
                <w:lang w:val="de-DE"/>
              </w:rPr>
              <w:t>Warning</w:t>
            </w:r>
            <w:proofErr w:type="spellEnd"/>
            <w:r w:rsidRPr="00D86B79">
              <w:rPr>
                <w:lang w:val="de-DE"/>
              </w:rPr>
              <w:t xml:space="preserve">-Mail) · bei wiederholter Überschreitung: </w:t>
            </w:r>
            <w:proofErr w:type="spellStart"/>
            <w:r w:rsidRPr="00D86B79">
              <w:rPr>
                <w:lang w:val="de-DE"/>
              </w:rPr>
              <w:t>Suspend</w:t>
            </w:r>
            <w:proofErr w:type="spellEnd"/>
            <w:r w:rsidRPr="00D86B79">
              <w:rPr>
                <w:lang w:val="de-DE"/>
              </w:rPr>
              <w:t>.</w:t>
            </w:r>
          </w:p>
        </w:tc>
      </w:tr>
    </w:tbl>
    <w:p w14:paraId="3B6B05A5" w14:textId="77777777" w:rsidR="00011745" w:rsidRPr="00D86B79" w:rsidRDefault="00011745">
      <w:pPr>
        <w:rPr>
          <w:lang w:val="de-DE"/>
        </w:rPr>
      </w:pPr>
    </w:p>
    <w:p w14:paraId="13C46947" w14:textId="77777777" w:rsidR="00011745" w:rsidRPr="00D86B79" w:rsidRDefault="00252F58">
      <w:pPr>
        <w:spacing w:before="360" w:after="160"/>
        <w:rPr>
          <w:lang w:val="de-DE"/>
        </w:rPr>
      </w:pPr>
      <w:r w:rsidRPr="00D86B79">
        <w:rPr>
          <w:b/>
          <w:color w:val="0F1E3D"/>
          <w:sz w:val="30"/>
          <w:lang w:val="de-DE"/>
        </w:rPr>
        <w:lastRenderedPageBreak/>
        <w:t>5. Sicherheits-Pflichten des Empfängers</w:t>
      </w:r>
    </w:p>
    <w:p w14:paraId="71079691" w14:textId="77777777" w:rsidR="00011745" w:rsidRPr="00D86B79" w:rsidRDefault="00252F58">
      <w:pPr>
        <w:rPr>
          <w:lang w:val="de-DE"/>
        </w:rPr>
      </w:pPr>
      <w:r w:rsidRPr="00D86B79">
        <w:rPr>
          <w:b/>
          <w:lang w:val="de-DE"/>
        </w:rPr>
        <w:t>Pflichten:</w:t>
      </w:r>
    </w:p>
    <w:p w14:paraId="4B282758" w14:textId="77777777" w:rsidR="00011745" w:rsidRDefault="00252F58">
      <w:pPr>
        <w:pStyle w:val="Aufzhlungszeichen"/>
      </w:pPr>
      <w:proofErr w:type="spellStart"/>
      <w:r>
        <w:t>Eigene</w:t>
      </w:r>
      <w:proofErr w:type="spellEnd"/>
      <w:r>
        <w:t xml:space="preserve"> Software up-to-date </w:t>
      </w:r>
      <w:proofErr w:type="spellStart"/>
      <w:r>
        <w:t>halten</w:t>
      </w:r>
      <w:proofErr w:type="spellEnd"/>
      <w:r>
        <w:t xml:space="preserve"> (Security-Patches binnen 30 d)</w:t>
      </w:r>
    </w:p>
    <w:p w14:paraId="5E7A3FBF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 xml:space="preserve">Bei kompromittierten </w:t>
      </w:r>
      <w:proofErr w:type="spellStart"/>
      <w:r w:rsidRPr="00D86B79">
        <w:rPr>
          <w:lang w:val="de-DE"/>
        </w:rPr>
        <w:t>Credentials</w:t>
      </w:r>
      <w:proofErr w:type="spellEnd"/>
      <w:r w:rsidRPr="00D86B79">
        <w:rPr>
          <w:lang w:val="de-DE"/>
        </w:rPr>
        <w:t xml:space="preserve"> sofort Synvix informieren (community@synvix.de)</w:t>
      </w:r>
    </w:p>
    <w:p w14:paraId="12EC67FE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Eigene Backups zusätzlich zu Synvix-Backups (gegen versehentliche Datenlöschung)</w:t>
      </w:r>
    </w:p>
    <w:p w14:paraId="125E3A71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DSGVO-konforme Datenschutzerklärung auf der eigenen Website</w:t>
      </w:r>
    </w:p>
    <w:p w14:paraId="43F4B93F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Impressum gemäß § 5 TMG (auch bei nicht-kommerzieller Nutzung empfohlen)</w:t>
      </w:r>
    </w:p>
    <w:p w14:paraId="1E738892" w14:textId="77777777" w:rsidR="00011745" w:rsidRDefault="00252F58">
      <w:r>
        <w:rPr>
          <w:b/>
        </w:rPr>
        <w:t>Verboten:</w:t>
      </w:r>
    </w:p>
    <w:p w14:paraId="514B04FB" w14:textId="77777777" w:rsidR="00011745" w:rsidRPr="00D86B79" w:rsidRDefault="00252F58">
      <w:pPr>
        <w:pStyle w:val="Aufzhlungszeichen"/>
        <w:rPr>
          <w:lang w:val="de-DE"/>
        </w:rPr>
      </w:pPr>
      <w:proofErr w:type="spellStart"/>
      <w:r w:rsidRPr="00D86B79">
        <w:rPr>
          <w:lang w:val="de-DE"/>
        </w:rPr>
        <w:t>Disable</w:t>
      </w:r>
      <w:proofErr w:type="spellEnd"/>
      <w:r w:rsidRPr="00D86B79">
        <w:rPr>
          <w:lang w:val="de-DE"/>
        </w:rPr>
        <w:t xml:space="preserve"> von Sicherheits-Updates auf der Sponsoring-Infrastruktur</w:t>
      </w:r>
    </w:p>
    <w:p w14:paraId="460AF703" w14:textId="77777777" w:rsidR="00011745" w:rsidRDefault="00252F58">
      <w:pPr>
        <w:pStyle w:val="Aufzhlungszeichen"/>
      </w:pPr>
      <w:r>
        <w:t>Bypass der Synvix-Firewall / -Monitoring</w:t>
      </w:r>
    </w:p>
    <w:p w14:paraId="2DB30229" w14:textId="77777777" w:rsidR="00011745" w:rsidRDefault="00252F58">
      <w:pPr>
        <w:spacing w:before="360" w:after="160"/>
      </w:pPr>
      <w:r>
        <w:rPr>
          <w:b/>
          <w:color w:val="0F1E3D"/>
          <w:sz w:val="30"/>
        </w:rPr>
        <w:t>6. Reporting &amp; Reaktion bei AUP-Verstößen</w:t>
      </w:r>
    </w:p>
    <w:p w14:paraId="4766B117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>6.1 Wie Verstöße gemeldet werden</w:t>
      </w:r>
    </w:p>
    <w:p w14:paraId="49A4A329" w14:textId="77777777" w:rsidR="00011745" w:rsidRDefault="00252F58">
      <w:pPr>
        <w:pStyle w:val="Aufzhlungszeichen"/>
      </w:pPr>
      <w:r>
        <w:t>E-Mail: abuse@synvix.de</w:t>
      </w:r>
    </w:p>
    <w:p w14:paraId="4C1433A3" w14:textId="435344E1" w:rsidR="00011745" w:rsidRDefault="00252F58">
      <w:pPr>
        <w:pStyle w:val="Aufzhlungszeichen"/>
      </w:pPr>
      <w:r>
        <w:t>Web-Form:</w:t>
      </w:r>
      <w:r w:rsidR="00FC61C0">
        <w:t xml:space="preserve"> </w:t>
      </w:r>
      <w:r>
        <w:t>synvix.de/abuse</w:t>
      </w:r>
    </w:p>
    <w:p w14:paraId="3E0DC297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Behörden: kommen direkt an Synvix als Hoster (TMG)</w:t>
      </w:r>
    </w:p>
    <w:p w14:paraId="30EEF48C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Reports werden binnen 24 h gesichtet.</w:t>
      </w:r>
    </w:p>
    <w:p w14:paraId="5A286298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 xml:space="preserve">6.2 </w:t>
      </w:r>
      <w:proofErr w:type="spellStart"/>
      <w:r>
        <w:rPr>
          <w:b/>
          <w:color w:val="1E9FB8"/>
          <w:sz w:val="24"/>
        </w:rPr>
        <w:t>Reaktion</w:t>
      </w:r>
      <w:proofErr w:type="spellEnd"/>
      <w:r>
        <w:rPr>
          <w:b/>
          <w:color w:val="1E9FB8"/>
          <w:sz w:val="24"/>
        </w:rPr>
        <w:t xml:space="preserve"> </w:t>
      </w:r>
      <w:proofErr w:type="spellStart"/>
      <w:r>
        <w:rPr>
          <w:b/>
          <w:color w:val="1E9FB8"/>
          <w:sz w:val="24"/>
        </w:rPr>
        <w:t>durch</w:t>
      </w:r>
      <w:proofErr w:type="spellEnd"/>
      <w:r>
        <w:rPr>
          <w:b/>
          <w:color w:val="1E9FB8"/>
          <w:sz w:val="24"/>
        </w:rPr>
        <w:t xml:space="preserve"> Synvix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402"/>
        <w:gridCol w:w="1984"/>
      </w:tblGrid>
      <w:tr w:rsidR="00011745" w14:paraId="1876B00F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5A5B42D9" w14:textId="77777777" w:rsidR="00011745" w:rsidRDefault="00252F58">
            <w:r>
              <w:rPr>
                <w:b/>
                <w:color w:val="FFFFFF"/>
              </w:rPr>
              <w:t>Schweregrad</w:t>
            </w:r>
          </w:p>
        </w:tc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7A2072AB" w14:textId="77777777" w:rsidR="00011745" w:rsidRDefault="00252F58">
            <w:r>
              <w:rPr>
                <w:b/>
                <w:color w:val="FFFFFF"/>
              </w:rPr>
              <w:t>Reaktion</w:t>
            </w:r>
          </w:p>
        </w:tc>
        <w:tc>
          <w:tcPr>
            <w:tcW w:w="198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49DC0348" w14:textId="77777777" w:rsidR="00011745" w:rsidRDefault="00252F58">
            <w:r>
              <w:rPr>
                <w:b/>
                <w:color w:val="FFFFFF"/>
              </w:rPr>
              <w:t>Zeitrahmen</w:t>
            </w:r>
          </w:p>
        </w:tc>
      </w:tr>
      <w:tr w:rsidR="00011745" w14:paraId="5E24BE02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C4CED31" w14:textId="77777777" w:rsidR="00011745" w:rsidRDefault="00252F58">
            <w:r>
              <w:rPr>
                <w:sz w:val="18"/>
              </w:rPr>
              <w:t>KRITISCH (Strafrecht, KRITIS)</w:t>
            </w:r>
          </w:p>
        </w:tc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E343E0D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Sofort-</w:t>
            </w:r>
            <w:proofErr w:type="spellStart"/>
            <w:r w:rsidRPr="00D86B79">
              <w:rPr>
                <w:sz w:val="18"/>
                <w:lang w:val="de-DE"/>
              </w:rPr>
              <w:t>Suspend</w:t>
            </w:r>
            <w:proofErr w:type="spellEnd"/>
            <w:r w:rsidRPr="00D86B79">
              <w:rPr>
                <w:sz w:val="18"/>
                <w:lang w:val="de-DE"/>
              </w:rPr>
              <w:t xml:space="preserve"> + Eskalation an Behörden falls erforderlich</w:t>
            </w:r>
          </w:p>
        </w:tc>
        <w:tc>
          <w:tcPr>
            <w:tcW w:w="198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53D5CFA" w14:textId="77777777" w:rsidR="00011745" w:rsidRDefault="00252F58">
            <w:r>
              <w:rPr>
                <w:sz w:val="18"/>
              </w:rPr>
              <w:t>&lt; 1 h</w:t>
            </w:r>
          </w:p>
        </w:tc>
      </w:tr>
      <w:tr w:rsidR="00011745" w14:paraId="7D29784F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29A2EBD" w14:textId="77777777" w:rsidR="00011745" w:rsidRDefault="00252F58">
            <w:r>
              <w:rPr>
                <w:sz w:val="18"/>
              </w:rPr>
              <w:t>HOCH (Urheberrecht, Spam, Botnet)</w:t>
            </w:r>
          </w:p>
        </w:tc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FFFE499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Sofort-</w:t>
            </w:r>
            <w:proofErr w:type="spellStart"/>
            <w:r w:rsidRPr="00D86B79">
              <w:rPr>
                <w:sz w:val="18"/>
                <w:lang w:val="de-DE"/>
              </w:rPr>
              <w:t>Suspend</w:t>
            </w:r>
            <w:proofErr w:type="spellEnd"/>
            <w:r w:rsidRPr="00D86B79">
              <w:rPr>
                <w:sz w:val="18"/>
                <w:lang w:val="de-DE"/>
              </w:rPr>
              <w:t xml:space="preserve"> + Mail an Empfänger</w:t>
            </w:r>
          </w:p>
        </w:tc>
        <w:tc>
          <w:tcPr>
            <w:tcW w:w="198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6F1968E" w14:textId="77777777" w:rsidR="00011745" w:rsidRDefault="00252F58">
            <w:r>
              <w:rPr>
                <w:sz w:val="18"/>
              </w:rPr>
              <w:t>&lt; 4 h</w:t>
            </w:r>
          </w:p>
        </w:tc>
      </w:tr>
      <w:tr w:rsidR="00011745" w14:paraId="669D2B11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AF96DC7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MITTEL (Ressourcen-Missbrauch, kommerzielle Aktivität)</w:t>
            </w:r>
          </w:p>
        </w:tc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DF54788" w14:textId="77777777" w:rsidR="00011745" w:rsidRPr="00D86B79" w:rsidRDefault="00252F58">
            <w:pPr>
              <w:rPr>
                <w:lang w:val="de-DE"/>
              </w:rPr>
            </w:pPr>
            <w:proofErr w:type="spellStart"/>
            <w:r w:rsidRPr="00D86B79">
              <w:rPr>
                <w:sz w:val="18"/>
                <w:lang w:val="de-DE"/>
              </w:rPr>
              <w:t>Warning</w:t>
            </w:r>
            <w:proofErr w:type="spellEnd"/>
            <w:r w:rsidRPr="00D86B79">
              <w:rPr>
                <w:sz w:val="18"/>
                <w:lang w:val="de-DE"/>
              </w:rPr>
              <w:t>-Mail + 14 d Frist zur Behebung</w:t>
            </w:r>
          </w:p>
        </w:tc>
        <w:tc>
          <w:tcPr>
            <w:tcW w:w="198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5C5F6E3" w14:textId="77777777" w:rsidR="00011745" w:rsidRDefault="00252F58">
            <w:r>
              <w:rPr>
                <w:sz w:val="18"/>
              </w:rPr>
              <w:t>14 d</w:t>
            </w:r>
          </w:p>
        </w:tc>
      </w:tr>
      <w:tr w:rsidR="00011745" w14:paraId="36346DA9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68A2BC1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NIEDRIG (formale Verstöße, fehlendes Impressum)</w:t>
            </w:r>
          </w:p>
        </w:tc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DBD5943" w14:textId="77777777" w:rsidR="00011745" w:rsidRDefault="00252F58">
            <w:proofErr w:type="spellStart"/>
            <w:r>
              <w:rPr>
                <w:sz w:val="18"/>
              </w:rPr>
              <w:t>Hinweis</w:t>
            </w:r>
            <w:proofErr w:type="spellEnd"/>
            <w:r>
              <w:rPr>
                <w:sz w:val="18"/>
              </w:rPr>
              <w:t>-Mail + 30 d Frist</w:t>
            </w:r>
          </w:p>
        </w:tc>
        <w:tc>
          <w:tcPr>
            <w:tcW w:w="198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4164A7E" w14:textId="77777777" w:rsidR="00011745" w:rsidRDefault="00252F58">
            <w:r>
              <w:rPr>
                <w:sz w:val="18"/>
              </w:rPr>
              <w:t>30 d</w:t>
            </w:r>
          </w:p>
        </w:tc>
      </w:tr>
    </w:tbl>
    <w:p w14:paraId="145FB47B" w14:textId="77777777" w:rsidR="00011745" w:rsidRDefault="00011745"/>
    <w:p w14:paraId="369B7C1F" w14:textId="77777777" w:rsidR="00011745" w:rsidRDefault="00252F58">
      <w:pPr>
        <w:spacing w:before="240" w:after="80"/>
      </w:pPr>
      <w:r>
        <w:rPr>
          <w:b/>
          <w:color w:val="1E9FB8"/>
          <w:sz w:val="24"/>
        </w:rPr>
        <w:t>6.3 Re-Aktivierung nach Suspend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5669"/>
      </w:tblGrid>
      <w:tr w:rsidR="00011745" w14:paraId="2DDFE73B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05F575E6" w14:textId="77777777" w:rsidR="00011745" w:rsidRDefault="00252F58">
            <w:r>
              <w:rPr>
                <w:b/>
                <w:color w:val="FFFFFF"/>
              </w:rPr>
              <w:t>Verstoß-Typ</w:t>
            </w:r>
          </w:p>
        </w:tc>
        <w:tc>
          <w:tcPr>
            <w:tcW w:w="56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34B8BAB8" w14:textId="77777777" w:rsidR="00011745" w:rsidRDefault="00252F58">
            <w:r>
              <w:rPr>
                <w:b/>
                <w:color w:val="FFFFFF"/>
              </w:rPr>
              <w:t>Re-Aktivierung möglich?</w:t>
            </w:r>
          </w:p>
        </w:tc>
      </w:tr>
      <w:tr w:rsidR="00011745" w:rsidRPr="00D86B79" w14:paraId="5074DD8E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1B699BB" w14:textId="77777777" w:rsidR="00011745" w:rsidRDefault="00252F58">
            <w:r>
              <w:rPr>
                <w:sz w:val="18"/>
              </w:rPr>
              <w:t>Hard-No-Liste (Kapitel 2)</w:t>
            </w:r>
          </w:p>
        </w:tc>
        <w:tc>
          <w:tcPr>
            <w:tcW w:w="56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5343F7F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NEIN · Auto-Eintrag in Negativ-Liste · keine künftigen Bewerbungen</w:t>
            </w:r>
          </w:p>
        </w:tc>
      </w:tr>
      <w:tr w:rsidR="00011745" w:rsidRPr="00D86B79" w14:paraId="2C9E236D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E646914" w14:textId="77777777" w:rsidR="00011745" w:rsidRDefault="00252F58">
            <w:proofErr w:type="spellStart"/>
            <w:r>
              <w:rPr>
                <w:sz w:val="18"/>
              </w:rPr>
              <w:t>Kommerzielle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Aktivität</w:t>
            </w:r>
            <w:proofErr w:type="spellEnd"/>
          </w:p>
        </w:tc>
        <w:tc>
          <w:tcPr>
            <w:tcW w:w="56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D1FEB99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NEIN als Sponsoring · JA als kostenpflichtiger BRONZE-Customer</w:t>
            </w:r>
          </w:p>
        </w:tc>
      </w:tr>
      <w:tr w:rsidR="00011745" w:rsidRPr="00D86B79" w14:paraId="7A5FD398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9C1D414" w14:textId="77777777" w:rsidR="00011745" w:rsidRDefault="00252F58">
            <w:proofErr w:type="spellStart"/>
            <w:r>
              <w:rPr>
                <w:sz w:val="18"/>
              </w:rPr>
              <w:t>Ressourcen-Missbrauch</w:t>
            </w:r>
            <w:proofErr w:type="spellEnd"/>
            <w:r>
              <w:rPr>
                <w:sz w:val="18"/>
              </w:rPr>
              <w:t xml:space="preserve"> (1×)</w:t>
            </w:r>
          </w:p>
        </w:tc>
        <w:tc>
          <w:tcPr>
            <w:tcW w:w="56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BF1E80C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sz w:val="18"/>
                <w:lang w:val="de-DE"/>
              </w:rPr>
              <w:t>JA nach Bestätigung der Behebung + Bewährungsfrist (90 d)</w:t>
            </w:r>
          </w:p>
        </w:tc>
      </w:tr>
      <w:tr w:rsidR="00011745" w14:paraId="515D627C" w14:textId="77777777">
        <w:tc>
          <w:tcPr>
            <w:tcW w:w="34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9457A1C" w14:textId="77777777" w:rsidR="00011745" w:rsidRDefault="00252F58">
            <w:r>
              <w:rPr>
                <w:sz w:val="18"/>
              </w:rPr>
              <w:t>Formal-</w:t>
            </w:r>
            <w:proofErr w:type="spellStart"/>
            <w:r>
              <w:rPr>
                <w:sz w:val="18"/>
              </w:rPr>
              <w:t>Verstoß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Impressum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6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96A62CF" w14:textId="77777777" w:rsidR="00011745" w:rsidRDefault="00252F58">
            <w:r>
              <w:rPr>
                <w:sz w:val="18"/>
              </w:rPr>
              <w:t>JA nach Behebung</w:t>
            </w:r>
          </w:p>
        </w:tc>
      </w:tr>
    </w:tbl>
    <w:p w14:paraId="06980D3C" w14:textId="77777777" w:rsidR="00011745" w:rsidRDefault="00011745"/>
    <w:p w14:paraId="124076A4" w14:textId="77777777" w:rsidR="00011745" w:rsidRDefault="00252F58">
      <w:pPr>
        <w:spacing w:before="360" w:after="160"/>
      </w:pPr>
      <w:r>
        <w:rPr>
          <w:b/>
          <w:color w:val="0F1E3D"/>
          <w:sz w:val="30"/>
        </w:rPr>
        <w:lastRenderedPageBreak/>
        <w:t>7. Eskalations-Pfad</w:t>
      </w:r>
    </w:p>
    <w:p w14:paraId="4E141BC3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Bei Behörden-/DMCA-/Strafanzeige-Anfragen:</w:t>
      </w:r>
    </w:p>
    <w:p w14:paraId="7479EBCB" w14:textId="77777777" w:rsidR="00011745" w:rsidRPr="00D86B79" w:rsidRDefault="00252F58">
      <w:pPr>
        <w:pStyle w:val="Listennummer"/>
        <w:rPr>
          <w:lang w:val="de-DE"/>
        </w:rPr>
      </w:pPr>
      <w:r w:rsidRPr="00D86B79">
        <w:rPr>
          <w:lang w:val="de-DE"/>
        </w:rPr>
        <w:t>Synvix erhält Anfrage → Sofort-</w:t>
      </w:r>
      <w:proofErr w:type="spellStart"/>
      <w:r w:rsidRPr="00D86B79">
        <w:rPr>
          <w:lang w:val="de-DE"/>
        </w:rPr>
        <w:t>Suspend</w:t>
      </w:r>
      <w:proofErr w:type="spellEnd"/>
      <w:r w:rsidRPr="00D86B79">
        <w:rPr>
          <w:lang w:val="de-DE"/>
        </w:rPr>
        <w:t xml:space="preserve"> des betroffenen </w:t>
      </w:r>
      <w:proofErr w:type="spellStart"/>
      <w:r w:rsidRPr="00D86B79">
        <w:rPr>
          <w:lang w:val="de-DE"/>
        </w:rPr>
        <w:t>Tenants</w:t>
      </w:r>
      <w:proofErr w:type="spellEnd"/>
      <w:r w:rsidRPr="00D86B79">
        <w:rPr>
          <w:lang w:val="de-DE"/>
        </w:rPr>
        <w:t>.</w:t>
      </w:r>
    </w:p>
    <w:p w14:paraId="0457B06E" w14:textId="77777777" w:rsidR="00011745" w:rsidRPr="00D86B79" w:rsidRDefault="00252F58">
      <w:pPr>
        <w:pStyle w:val="Listennummer"/>
        <w:rPr>
          <w:lang w:val="de-DE"/>
        </w:rPr>
      </w:pPr>
      <w:r w:rsidRPr="00D86B79">
        <w:rPr>
          <w:lang w:val="de-DE"/>
        </w:rPr>
        <w:t>Anfrage rechtlich prüfen lassen (innerhalb 24 h).</w:t>
      </w:r>
    </w:p>
    <w:p w14:paraId="33180BCE" w14:textId="77777777" w:rsidR="00011745" w:rsidRPr="00D86B79" w:rsidRDefault="00252F58">
      <w:pPr>
        <w:pStyle w:val="Listennummer"/>
        <w:rPr>
          <w:lang w:val="de-DE"/>
        </w:rPr>
      </w:pPr>
      <w:r w:rsidRPr="00D86B79">
        <w:rPr>
          <w:lang w:val="de-DE"/>
        </w:rPr>
        <w:t>Empfänger wird informiert (sofern rechtlich zulässig).</w:t>
      </w:r>
    </w:p>
    <w:p w14:paraId="3C89BF3E" w14:textId="77777777" w:rsidR="00011745" w:rsidRPr="00D86B79" w:rsidRDefault="00252F58">
      <w:pPr>
        <w:pStyle w:val="Listennummer"/>
        <w:rPr>
          <w:lang w:val="de-DE"/>
        </w:rPr>
      </w:pPr>
      <w:r w:rsidRPr="00D86B79">
        <w:rPr>
          <w:lang w:val="de-DE"/>
        </w:rPr>
        <w:t>Daten werden gemäß rechtlicher Anforderung herausgegeben (DSGVO-konform).</w:t>
      </w:r>
    </w:p>
    <w:p w14:paraId="0B7A8C76" w14:textId="77777777" w:rsidR="00011745" w:rsidRDefault="00252F58">
      <w:pPr>
        <w:pStyle w:val="Listennummer"/>
      </w:pPr>
      <w:proofErr w:type="spellStart"/>
      <w:r>
        <w:t>Vertrag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gekündigt</w:t>
      </w:r>
      <w:proofErr w:type="spellEnd"/>
      <w:r>
        <w:t xml:space="preserve"> (</w:t>
      </w:r>
      <w:proofErr w:type="spellStart"/>
      <w:r>
        <w:t>außerordentlich</w:t>
      </w:r>
      <w:proofErr w:type="spellEnd"/>
      <w: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690F9E75" w14:textId="77777777">
        <w:tc>
          <w:tcPr>
            <w:tcW w:w="9746" w:type="dxa"/>
            <w:tcBorders>
              <w:top w:val="single" w:sz="4" w:space="0" w:color="1E9FB8"/>
              <w:left w:val="single" w:sz="4" w:space="0" w:color="1E9FB8"/>
              <w:bottom w:val="single" w:sz="4" w:space="0" w:color="1E9FB8"/>
              <w:right w:val="single" w:sz="4" w:space="0" w:color="1E9FB8"/>
            </w:tcBorders>
            <w:shd w:val="clear" w:color="auto" w:fill="F3F5F9"/>
          </w:tcPr>
          <w:p w14:paraId="776B43A9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Synvix-Position:  </w:t>
            </w:r>
            <w:r w:rsidRPr="00D86B79">
              <w:rPr>
                <w:lang w:val="de-DE"/>
              </w:rPr>
              <w:t>Synvix wird sich gegen rechtswidrige Behörden-Anfragen wehren, ist aber verpflichtet, gegen rechtmäßige Anfragen zu kooperieren.</w:t>
            </w:r>
          </w:p>
        </w:tc>
      </w:tr>
    </w:tbl>
    <w:p w14:paraId="173ED648" w14:textId="77777777" w:rsidR="00011745" w:rsidRPr="00D86B79" w:rsidRDefault="00011745">
      <w:pPr>
        <w:rPr>
          <w:lang w:val="de-DE"/>
        </w:rPr>
      </w:pPr>
    </w:p>
    <w:p w14:paraId="60AF5196" w14:textId="77777777" w:rsidR="00011745" w:rsidRPr="00D86B79" w:rsidRDefault="00252F58">
      <w:pPr>
        <w:spacing w:before="360" w:after="160"/>
        <w:rPr>
          <w:lang w:val="de-DE"/>
        </w:rPr>
      </w:pPr>
      <w:r w:rsidRPr="00D86B79">
        <w:rPr>
          <w:b/>
          <w:color w:val="0F1E3D"/>
          <w:sz w:val="30"/>
          <w:lang w:val="de-DE"/>
        </w:rPr>
        <w:t>8. Beendigung &amp; Daten-Löschung</w:t>
      </w:r>
    </w:p>
    <w:p w14:paraId="40D9C1A2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Nach AUP-Verstoß und Vertrags-Kündigung:</w:t>
      </w:r>
    </w:p>
    <w:p w14:paraId="7CE62B08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Daten werden 30 Tage in Read-Only gehalten (Empfänger kann Export ziehen).</w:t>
      </w:r>
    </w:p>
    <w:p w14:paraId="250DC12D" w14:textId="77777777" w:rsidR="00011745" w:rsidRDefault="00252F58">
      <w:pPr>
        <w:pStyle w:val="Aufzhlungszeichen"/>
      </w:pPr>
      <w:r>
        <w:t xml:space="preserve">Nach 30 Tagen: </w:t>
      </w:r>
      <w:proofErr w:type="spellStart"/>
      <w:r>
        <w:t>unwiderruflich</w:t>
      </w:r>
      <w:proofErr w:type="spellEnd"/>
      <w:r>
        <w:t xml:space="preserve"> gelöscht.</w:t>
      </w:r>
    </w:p>
    <w:p w14:paraId="1BB8AB26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Backups: 90 Tage Aufbewahrung, dann gelöscht.</w:t>
      </w:r>
    </w:p>
    <w:p w14:paraId="168A9571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Bei Behörden-Anfrage: Daten werden bis zum Ende der gesetzlichen Aufbewahrungsfrist (i. d. R. 6 Monate für Bestandsdaten) gehalten.</w:t>
      </w:r>
    </w:p>
    <w:p w14:paraId="5D93D236" w14:textId="77777777" w:rsidR="00011745" w:rsidRDefault="00252F58">
      <w:pPr>
        <w:spacing w:before="360" w:after="160"/>
      </w:pPr>
      <w:r>
        <w:rPr>
          <w:b/>
          <w:color w:val="0F1E3D"/>
          <w:sz w:val="30"/>
        </w:rPr>
        <w:t>9. Schlussklauseln</w:t>
      </w:r>
    </w:p>
    <w:p w14:paraId="0AF44A5F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Diese AUP kann von Synvix mit 30-Tage-Frist geändert werden. Aktuelle Version unter community.synvix.de/</w:t>
      </w:r>
      <w:proofErr w:type="spellStart"/>
      <w:r w:rsidRPr="00D86B79">
        <w:rPr>
          <w:lang w:val="de-DE"/>
        </w:rPr>
        <w:t>aup</w:t>
      </w:r>
      <w:proofErr w:type="spellEnd"/>
      <w:r w:rsidRPr="00D86B79">
        <w:rPr>
          <w:lang w:val="de-DE"/>
        </w:rPr>
        <w:t>.</w:t>
      </w:r>
    </w:p>
    <w:p w14:paraId="58D5CF70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Bei Konflikt mit Hauptvertrag gilt der Hauptvertrag.</w:t>
      </w:r>
    </w:p>
    <w:p w14:paraId="1D83ECFB" w14:textId="77777777" w:rsidR="00011745" w:rsidRPr="00D86B79" w:rsidRDefault="00252F58">
      <w:pPr>
        <w:pStyle w:val="Aufzhlungszeichen"/>
        <w:rPr>
          <w:lang w:val="de-DE"/>
        </w:rPr>
      </w:pPr>
      <w:r w:rsidRPr="00D86B79">
        <w:rPr>
          <w:lang w:val="de-DE"/>
        </w:rPr>
        <w:t>Bei Konflikt mit deutschem Recht gilt deutsches Recht.</w:t>
      </w:r>
    </w:p>
    <w:p w14:paraId="6927253C" w14:textId="77777777" w:rsidR="00011745" w:rsidRPr="00D86B79" w:rsidRDefault="00252F58">
      <w:pPr>
        <w:spacing w:before="360" w:after="160"/>
        <w:rPr>
          <w:lang w:val="de-DE"/>
        </w:rPr>
      </w:pPr>
      <w:r w:rsidRPr="00D86B79">
        <w:rPr>
          <w:b/>
          <w:color w:val="0F1E3D"/>
          <w:sz w:val="30"/>
          <w:lang w:val="de-DE"/>
        </w:rPr>
        <w:t>10. Akzeptanz</w:t>
      </w:r>
    </w:p>
    <w:p w14:paraId="1DCC56A6" w14:textId="77777777" w:rsidR="00011745" w:rsidRPr="00D86B79" w:rsidRDefault="00252F58">
      <w:pPr>
        <w:rPr>
          <w:lang w:val="de-DE"/>
        </w:rPr>
      </w:pPr>
      <w:r w:rsidRPr="00D86B79">
        <w:rPr>
          <w:lang w:val="de-DE"/>
        </w:rPr>
        <w:t>Mit Unterzeichnung des Sponsoring-Hauptvertrags akzeptiert der Empfänger diese AUP vollständig und bestätigt, sie gelesen und verstanden zu haben.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1745" w:rsidRPr="00D86B79" w14:paraId="7AE64568" w14:textId="77777777">
        <w:tc>
          <w:tcPr>
            <w:tcW w:w="9746" w:type="dxa"/>
            <w:tcBorders>
              <w:top w:val="single" w:sz="4" w:space="0" w:color="F5B800"/>
              <w:left w:val="single" w:sz="4" w:space="0" w:color="F5B800"/>
              <w:bottom w:val="single" w:sz="4" w:space="0" w:color="F5B800"/>
              <w:right w:val="single" w:sz="4" w:space="0" w:color="F5B800"/>
            </w:tcBorders>
            <w:shd w:val="clear" w:color="auto" w:fill="F3F5F9"/>
          </w:tcPr>
          <w:p w14:paraId="4324EEB4" w14:textId="77777777" w:rsidR="00011745" w:rsidRPr="00D86B79" w:rsidRDefault="00252F58">
            <w:pPr>
              <w:rPr>
                <w:lang w:val="de-DE"/>
              </w:rPr>
            </w:pPr>
            <w:r w:rsidRPr="00D86B79">
              <w:rPr>
                <w:b/>
                <w:color w:val="0F1E3D"/>
                <w:lang w:val="de-DE"/>
              </w:rPr>
              <w:t xml:space="preserve">Bei Unklarheit:  </w:t>
            </w:r>
            <w:r w:rsidRPr="00D86B79">
              <w:rPr>
                <w:lang w:val="de-DE"/>
              </w:rPr>
              <w:t>Vor Unterschrift kontaktieren — community@synvix.de.</w:t>
            </w:r>
          </w:p>
        </w:tc>
      </w:tr>
    </w:tbl>
    <w:p w14:paraId="6F0194B3" w14:textId="77777777" w:rsidR="00011745" w:rsidRPr="00D86B79" w:rsidRDefault="00011745">
      <w:pPr>
        <w:rPr>
          <w:lang w:val="de-DE"/>
        </w:rPr>
      </w:pPr>
    </w:p>
    <w:p w14:paraId="2AB282DA" w14:textId="77777777" w:rsidR="00011745" w:rsidRPr="00D86B79" w:rsidRDefault="00011745">
      <w:pPr>
        <w:rPr>
          <w:lang w:val="de-DE"/>
        </w:rPr>
      </w:pPr>
    </w:p>
    <w:p w14:paraId="1D52A75C" w14:textId="77777777" w:rsidR="00011745" w:rsidRDefault="00252F58">
      <w:pPr>
        <w:jc w:val="center"/>
      </w:pPr>
      <w:r>
        <w:rPr>
          <w:i/>
          <w:color w:val="8A8F9A"/>
          <w:sz w:val="16"/>
        </w:rPr>
        <w:t xml:space="preserve">Synvix · </w:t>
      </w:r>
      <w:proofErr w:type="spellStart"/>
      <w:r>
        <w:rPr>
          <w:i/>
          <w:color w:val="8A8F9A"/>
          <w:sz w:val="16"/>
        </w:rPr>
        <w:t>Venasty</w:t>
      </w:r>
      <w:proofErr w:type="spellEnd"/>
      <w:r>
        <w:rPr>
          <w:i/>
          <w:color w:val="8A8F9A"/>
          <w:sz w:val="16"/>
        </w:rPr>
        <w:t xml:space="preserve"> Systems  ·  AUP v1.0  ·  2026-04-28  ·  abuse@synvix.de  ·  datenschutz@synvix.de</w:t>
      </w:r>
    </w:p>
    <w:sectPr w:rsidR="0001174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36966">
    <w:abstractNumId w:val="8"/>
  </w:num>
  <w:num w:numId="2" w16cid:durableId="1209880366">
    <w:abstractNumId w:val="6"/>
  </w:num>
  <w:num w:numId="3" w16cid:durableId="1250962138">
    <w:abstractNumId w:val="5"/>
  </w:num>
  <w:num w:numId="4" w16cid:durableId="1586455061">
    <w:abstractNumId w:val="4"/>
  </w:num>
  <w:num w:numId="5" w16cid:durableId="2069451642">
    <w:abstractNumId w:val="7"/>
  </w:num>
  <w:num w:numId="6" w16cid:durableId="393434402">
    <w:abstractNumId w:val="3"/>
  </w:num>
  <w:num w:numId="7" w16cid:durableId="1529954710">
    <w:abstractNumId w:val="2"/>
  </w:num>
  <w:num w:numId="8" w16cid:durableId="1574007570">
    <w:abstractNumId w:val="1"/>
  </w:num>
  <w:num w:numId="9" w16cid:durableId="796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745"/>
    <w:rsid w:val="00034616"/>
    <w:rsid w:val="0006063C"/>
    <w:rsid w:val="0015074B"/>
    <w:rsid w:val="00252F58"/>
    <w:rsid w:val="0029639D"/>
    <w:rsid w:val="00326F90"/>
    <w:rsid w:val="00AA1D8D"/>
    <w:rsid w:val="00B47730"/>
    <w:rsid w:val="00BF511F"/>
    <w:rsid w:val="00CB0664"/>
    <w:rsid w:val="00D86B79"/>
    <w:rsid w:val="00FC61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00266B5-3BB9-406E-A914-D06AA6A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color w:val="1A1A1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Völkel</cp:lastModifiedBy>
  <cp:revision>3</cp:revision>
  <dcterms:created xsi:type="dcterms:W3CDTF">2013-12-23T23:15:00Z</dcterms:created>
  <dcterms:modified xsi:type="dcterms:W3CDTF">2026-04-29T13:02:00Z</dcterms:modified>
  <cp:category/>
</cp:coreProperties>
</file>